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6574" w14:textId="13C64D8A" w:rsidR="009E7DF1" w:rsidRPr="009E7DF1" w:rsidRDefault="009E7DF1" w:rsidP="009E7DF1">
      <w:pPr>
        <w:spacing w:after="0"/>
        <w:jc w:val="center"/>
        <w:rPr>
          <w:sz w:val="24"/>
          <w:szCs w:val="24"/>
        </w:rPr>
      </w:pPr>
      <w:r w:rsidRPr="009E7DF1">
        <w:rPr>
          <w:sz w:val="24"/>
          <w:szCs w:val="24"/>
        </w:rPr>
        <w:t xml:space="preserve">Mystic </w:t>
      </w:r>
      <w:r w:rsidR="004C4FCA">
        <w:rPr>
          <w:sz w:val="24"/>
          <w:szCs w:val="24"/>
        </w:rPr>
        <w:t xml:space="preserve">&amp; </w:t>
      </w:r>
      <w:r w:rsidRPr="009E7DF1">
        <w:rPr>
          <w:sz w:val="24"/>
          <w:szCs w:val="24"/>
        </w:rPr>
        <w:t xml:space="preserve"> </w:t>
      </w:r>
      <w:proofErr w:type="spellStart"/>
      <w:r w:rsidRPr="009E7DF1">
        <w:rPr>
          <w:sz w:val="24"/>
          <w:szCs w:val="24"/>
        </w:rPr>
        <w:t>Noank</w:t>
      </w:r>
      <w:proofErr w:type="spellEnd"/>
      <w:r w:rsidRPr="009E7DF1">
        <w:rPr>
          <w:sz w:val="24"/>
          <w:szCs w:val="24"/>
        </w:rPr>
        <w:t xml:space="preserve"> Library</w:t>
      </w:r>
    </w:p>
    <w:p w14:paraId="7DC1E23D" w14:textId="4278BD72" w:rsidR="009E7DF1" w:rsidRDefault="001927D1" w:rsidP="009E7D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Contingency</w:t>
      </w:r>
      <w:r w:rsidR="009E7DF1" w:rsidRPr="009E7DF1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="009E7DF1" w:rsidRPr="009E7DF1">
        <w:rPr>
          <w:sz w:val="24"/>
          <w:szCs w:val="24"/>
        </w:rPr>
        <w:t xml:space="preserve"> Policy</w:t>
      </w:r>
    </w:p>
    <w:p w14:paraId="710FCF77" w14:textId="0696F70E" w:rsidR="009E7DF1" w:rsidRDefault="009E7DF1" w:rsidP="009E7DF1">
      <w:pPr>
        <w:spacing w:after="0"/>
        <w:jc w:val="center"/>
        <w:rPr>
          <w:sz w:val="24"/>
          <w:szCs w:val="24"/>
        </w:rPr>
      </w:pPr>
    </w:p>
    <w:p w14:paraId="68907A13" w14:textId="26864B34" w:rsidR="009E7DF1" w:rsidRDefault="009E7DF1" w:rsidP="009E7D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Purpose</w:t>
      </w:r>
    </w:p>
    <w:p w14:paraId="08FFC876" w14:textId="487DFD49" w:rsidR="009E7DF1" w:rsidRDefault="009E7DF1" w:rsidP="009E7DF1">
      <w:pPr>
        <w:spacing w:after="0"/>
        <w:rPr>
          <w:sz w:val="24"/>
          <w:szCs w:val="24"/>
        </w:rPr>
      </w:pPr>
    </w:p>
    <w:p w14:paraId="246AB0D0" w14:textId="3061FE88" w:rsidR="009E7DF1" w:rsidRDefault="009E7DF1" w:rsidP="009E7DF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Mystic and Noank Library recognizes that the maintenance of a </w:t>
      </w:r>
      <w:r w:rsidR="001927D1">
        <w:rPr>
          <w:sz w:val="24"/>
          <w:szCs w:val="24"/>
        </w:rPr>
        <w:t>Contingency</w:t>
      </w:r>
      <w:r>
        <w:rPr>
          <w:sz w:val="24"/>
          <w:szCs w:val="24"/>
        </w:rPr>
        <w:t xml:space="preserve"> </w:t>
      </w:r>
      <w:r w:rsidR="001927D1">
        <w:rPr>
          <w:sz w:val="24"/>
          <w:szCs w:val="24"/>
        </w:rPr>
        <w:t>Fund</w:t>
      </w:r>
      <w:r>
        <w:rPr>
          <w:sz w:val="24"/>
          <w:szCs w:val="24"/>
        </w:rPr>
        <w:t xml:space="preserve"> is essential to ensure operational continuance while preserving financial sustainability.</w:t>
      </w:r>
    </w:p>
    <w:p w14:paraId="68206CAE" w14:textId="3EF63C88" w:rsidR="009E7DF1" w:rsidRDefault="009E7DF1" w:rsidP="002E60F8">
      <w:pPr>
        <w:spacing w:after="0"/>
        <w:rPr>
          <w:sz w:val="24"/>
          <w:szCs w:val="24"/>
        </w:rPr>
      </w:pPr>
    </w:p>
    <w:p w14:paraId="077D07C6" w14:textId="3E4B28D6" w:rsidR="009E7DF1" w:rsidRDefault="009E7DF1" w:rsidP="009E7DF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927D1">
        <w:rPr>
          <w:sz w:val="24"/>
          <w:szCs w:val="24"/>
        </w:rPr>
        <w:t>Contingency</w:t>
      </w:r>
      <w:r>
        <w:rPr>
          <w:sz w:val="24"/>
          <w:szCs w:val="24"/>
        </w:rPr>
        <w:t xml:space="preserve"> </w:t>
      </w:r>
      <w:r w:rsidR="001927D1">
        <w:rPr>
          <w:sz w:val="24"/>
          <w:szCs w:val="24"/>
        </w:rPr>
        <w:t>Fund</w:t>
      </w:r>
      <w:r>
        <w:rPr>
          <w:sz w:val="24"/>
          <w:szCs w:val="24"/>
        </w:rPr>
        <w:t xml:space="preserve"> is intended as a safeguard against unforeseen and emergency expenditures. Conditions warranting the </w:t>
      </w:r>
      <w:r w:rsidR="001927D1">
        <w:rPr>
          <w:sz w:val="24"/>
          <w:szCs w:val="24"/>
        </w:rPr>
        <w:t>Fund</w:t>
      </w:r>
      <w:r>
        <w:rPr>
          <w:sz w:val="24"/>
          <w:szCs w:val="24"/>
        </w:rPr>
        <w:t xml:space="preserve">’s use must be related to operational continuance under extraordinary circumstances, including, but not limited to, </w:t>
      </w:r>
      <w:r w:rsidR="002E60F8">
        <w:rPr>
          <w:sz w:val="24"/>
          <w:szCs w:val="24"/>
        </w:rPr>
        <w:t xml:space="preserve">municipal budget cuts, environmental disasters, public health emergencies, and other unforeseeable events. </w:t>
      </w:r>
    </w:p>
    <w:p w14:paraId="45041162" w14:textId="481BC401" w:rsidR="002E60F8" w:rsidRDefault="002E60F8" w:rsidP="009E7DF1">
      <w:pPr>
        <w:spacing w:after="0"/>
        <w:ind w:left="360"/>
        <w:rPr>
          <w:sz w:val="24"/>
          <w:szCs w:val="24"/>
        </w:rPr>
      </w:pPr>
    </w:p>
    <w:p w14:paraId="6C3B2750" w14:textId="67AEC469" w:rsidR="002E60F8" w:rsidRDefault="002E60F8" w:rsidP="009E7DF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intent of the </w:t>
      </w:r>
      <w:r w:rsidR="001927D1">
        <w:rPr>
          <w:sz w:val="24"/>
          <w:szCs w:val="24"/>
        </w:rPr>
        <w:t>Contingency</w:t>
      </w:r>
      <w:r>
        <w:rPr>
          <w:sz w:val="24"/>
          <w:szCs w:val="24"/>
        </w:rPr>
        <w:t xml:space="preserve"> </w:t>
      </w:r>
      <w:r w:rsidR="001927D1">
        <w:rPr>
          <w:sz w:val="24"/>
          <w:szCs w:val="24"/>
        </w:rPr>
        <w:t>Fund</w:t>
      </w:r>
      <w:r>
        <w:rPr>
          <w:sz w:val="24"/>
          <w:szCs w:val="24"/>
        </w:rPr>
        <w:t xml:space="preserve"> is not to support revenue shortfalls, expenses that could be reasonably anticipated, </w:t>
      </w:r>
      <w:r w:rsidR="00F13FCB">
        <w:rPr>
          <w:sz w:val="24"/>
          <w:szCs w:val="24"/>
        </w:rPr>
        <w:t xml:space="preserve">unbudgeted </w:t>
      </w:r>
      <w:r>
        <w:rPr>
          <w:sz w:val="24"/>
          <w:szCs w:val="24"/>
        </w:rPr>
        <w:t xml:space="preserve">capital improvement projects or expansion of services. </w:t>
      </w:r>
    </w:p>
    <w:p w14:paraId="4054A3D6" w14:textId="0A1E2AFA" w:rsidR="002E60F8" w:rsidRDefault="002E60F8" w:rsidP="009E7DF1">
      <w:pPr>
        <w:spacing w:after="0"/>
        <w:ind w:left="360"/>
        <w:rPr>
          <w:sz w:val="24"/>
          <w:szCs w:val="24"/>
        </w:rPr>
      </w:pPr>
    </w:p>
    <w:p w14:paraId="42637151" w14:textId="02A886E3" w:rsidR="002E60F8" w:rsidRDefault="002E60F8" w:rsidP="002E60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14:paraId="2B78FAC2" w14:textId="50F56908" w:rsidR="002E60F8" w:rsidRDefault="002E60F8" w:rsidP="002E60F8">
      <w:pPr>
        <w:spacing w:after="0"/>
        <w:ind w:left="360"/>
        <w:rPr>
          <w:sz w:val="24"/>
          <w:szCs w:val="24"/>
        </w:rPr>
      </w:pPr>
    </w:p>
    <w:p w14:paraId="71CB271A" w14:textId="55CB3B2B" w:rsidR="002E60F8" w:rsidRDefault="001927D1" w:rsidP="002E60F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Expenditures from the Contingency Fund are subject to the approval of the </w:t>
      </w:r>
      <w:r w:rsidR="004E3679">
        <w:rPr>
          <w:sz w:val="24"/>
          <w:szCs w:val="24"/>
        </w:rPr>
        <w:t>L</w:t>
      </w:r>
      <w:r>
        <w:rPr>
          <w:sz w:val="24"/>
          <w:szCs w:val="24"/>
        </w:rPr>
        <w:t xml:space="preserve">ibrary </w:t>
      </w:r>
      <w:r w:rsidR="004E3679">
        <w:rPr>
          <w:sz w:val="24"/>
          <w:szCs w:val="24"/>
        </w:rPr>
        <w:t>B</w:t>
      </w:r>
      <w:r>
        <w:rPr>
          <w:sz w:val="24"/>
          <w:szCs w:val="24"/>
        </w:rPr>
        <w:t xml:space="preserve">oard based upon a recommendation of the Finance Committee that specifies the amount to be expended and the specific purpose of such use. The Finance Committee will develop a plan and timeline within which to replenish the Fund. </w:t>
      </w:r>
    </w:p>
    <w:p w14:paraId="5DDD2DE2" w14:textId="09362C38" w:rsidR="001927D1" w:rsidRDefault="001927D1" w:rsidP="002E60F8">
      <w:pPr>
        <w:spacing w:after="0"/>
        <w:ind w:left="360"/>
        <w:rPr>
          <w:sz w:val="24"/>
          <w:szCs w:val="24"/>
        </w:rPr>
      </w:pPr>
    </w:p>
    <w:p w14:paraId="138A47D2" w14:textId="2139E6DB" w:rsidR="001927D1" w:rsidRDefault="001927D1" w:rsidP="001927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14:paraId="353F07E6" w14:textId="0D9C9CDB" w:rsidR="001927D1" w:rsidRDefault="001927D1" w:rsidP="001927D1">
      <w:pPr>
        <w:spacing w:after="0"/>
        <w:ind w:left="360"/>
        <w:rPr>
          <w:sz w:val="24"/>
          <w:szCs w:val="24"/>
        </w:rPr>
      </w:pPr>
    </w:p>
    <w:p w14:paraId="4C3A2A5E" w14:textId="620B185F" w:rsidR="001927D1" w:rsidRPr="001927D1" w:rsidRDefault="001927D1" w:rsidP="001927D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Management of the Contingency Fund will be overseen by the Finance Committee. A balance of </w:t>
      </w:r>
      <w:r w:rsidR="00BA5C4B">
        <w:rPr>
          <w:sz w:val="24"/>
          <w:szCs w:val="24"/>
        </w:rPr>
        <w:t xml:space="preserve">no less than </w:t>
      </w:r>
      <w:r>
        <w:rPr>
          <w:sz w:val="24"/>
          <w:szCs w:val="24"/>
        </w:rPr>
        <w:t xml:space="preserve">$100,000 </w:t>
      </w:r>
      <w:r w:rsidR="00BA5C4B">
        <w:rPr>
          <w:sz w:val="24"/>
          <w:szCs w:val="24"/>
        </w:rPr>
        <w:t xml:space="preserve">shall be maintained at all times, except such times when funds are released under the conditions outlined above. </w:t>
      </w:r>
      <w:proofErr w:type="gramStart"/>
      <w:r w:rsidR="00BA5C4B">
        <w:rPr>
          <w:sz w:val="24"/>
          <w:szCs w:val="24"/>
        </w:rPr>
        <w:t>In order to</w:t>
      </w:r>
      <w:proofErr w:type="gramEnd"/>
      <w:r w:rsidR="00BA5C4B">
        <w:rPr>
          <w:sz w:val="24"/>
          <w:szCs w:val="24"/>
        </w:rPr>
        <w:t xml:space="preserve"> achieve this objective, the Contingency Fund shall be invested in low-risk </w:t>
      </w:r>
      <w:r w:rsidR="004F50D4">
        <w:rPr>
          <w:sz w:val="24"/>
          <w:szCs w:val="24"/>
        </w:rPr>
        <w:t>FDIC-insured</w:t>
      </w:r>
      <w:r w:rsidR="00F13FCB">
        <w:rPr>
          <w:sz w:val="24"/>
          <w:szCs w:val="24"/>
        </w:rPr>
        <w:t xml:space="preserve"> </w:t>
      </w:r>
      <w:r w:rsidR="00BA5C4B">
        <w:rPr>
          <w:sz w:val="24"/>
          <w:szCs w:val="24"/>
        </w:rPr>
        <w:t>accounts. If the balance exceeds $110,000, funds may be released to reduce the balance to $100,000</w:t>
      </w:r>
      <w:r w:rsidR="00F13FCB">
        <w:rPr>
          <w:sz w:val="24"/>
          <w:szCs w:val="24"/>
        </w:rPr>
        <w:t>. F</w:t>
      </w:r>
      <w:r w:rsidR="004E3679">
        <w:rPr>
          <w:sz w:val="24"/>
          <w:szCs w:val="24"/>
        </w:rPr>
        <w:t>unds released under such circumstances may be used at the discretion o</w:t>
      </w:r>
      <w:r w:rsidR="00F13FCB">
        <w:rPr>
          <w:sz w:val="24"/>
          <w:szCs w:val="24"/>
        </w:rPr>
        <w:t>f</w:t>
      </w:r>
      <w:r w:rsidR="004E3679">
        <w:rPr>
          <w:sz w:val="24"/>
          <w:szCs w:val="24"/>
        </w:rPr>
        <w:t xml:space="preserve"> the Library Board, based upon a recommendation of the Finance Committee, or may be deposited in the general fund. </w:t>
      </w:r>
    </w:p>
    <w:p w14:paraId="6021A7B0" w14:textId="6AF47C9A" w:rsidR="001927D1" w:rsidRDefault="001927D1" w:rsidP="001927D1">
      <w:pPr>
        <w:spacing w:after="0"/>
        <w:rPr>
          <w:sz w:val="24"/>
          <w:szCs w:val="24"/>
        </w:rPr>
      </w:pPr>
    </w:p>
    <w:p w14:paraId="405D0A1E" w14:textId="77777777" w:rsidR="001927D1" w:rsidRPr="001927D1" w:rsidRDefault="001927D1" w:rsidP="001927D1">
      <w:pPr>
        <w:spacing w:after="0"/>
        <w:ind w:left="360"/>
        <w:rPr>
          <w:sz w:val="24"/>
          <w:szCs w:val="24"/>
        </w:rPr>
      </w:pPr>
    </w:p>
    <w:p w14:paraId="56138AE9" w14:textId="77777777" w:rsidR="004F50D4" w:rsidRDefault="004F50D4" w:rsidP="001927D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Approved August 23, 2022</w:t>
      </w:r>
    </w:p>
    <w:p w14:paraId="3CD386AE" w14:textId="4BE61DD6" w:rsidR="001927D1" w:rsidRDefault="004F50D4" w:rsidP="001927D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Mystic &amp; </w:t>
      </w:r>
      <w:proofErr w:type="spellStart"/>
      <w:r>
        <w:rPr>
          <w:sz w:val="24"/>
          <w:szCs w:val="24"/>
        </w:rPr>
        <w:t>Noank</w:t>
      </w:r>
      <w:proofErr w:type="spellEnd"/>
      <w:r>
        <w:rPr>
          <w:sz w:val="24"/>
          <w:szCs w:val="24"/>
        </w:rPr>
        <w:t xml:space="preserve"> Library Board of Trustees</w:t>
      </w:r>
    </w:p>
    <w:p w14:paraId="2DE16641" w14:textId="77777777" w:rsidR="001927D1" w:rsidRPr="001927D1" w:rsidRDefault="001927D1" w:rsidP="001927D1">
      <w:pPr>
        <w:spacing w:after="0"/>
        <w:ind w:left="360"/>
        <w:rPr>
          <w:sz w:val="24"/>
          <w:szCs w:val="24"/>
        </w:rPr>
      </w:pPr>
    </w:p>
    <w:p w14:paraId="4947D729" w14:textId="77777777" w:rsidR="002E60F8" w:rsidRPr="009E7DF1" w:rsidRDefault="002E60F8" w:rsidP="009E7DF1">
      <w:pPr>
        <w:spacing w:after="0"/>
        <w:ind w:left="360"/>
        <w:rPr>
          <w:sz w:val="24"/>
          <w:szCs w:val="24"/>
        </w:rPr>
      </w:pPr>
    </w:p>
    <w:sectPr w:rsidR="002E60F8" w:rsidRPr="009E7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5FE6" w14:textId="77777777" w:rsidR="00274DC6" w:rsidRDefault="00274DC6" w:rsidP="005474D0">
      <w:pPr>
        <w:spacing w:after="0" w:line="240" w:lineRule="auto"/>
      </w:pPr>
      <w:r>
        <w:separator/>
      </w:r>
    </w:p>
  </w:endnote>
  <w:endnote w:type="continuationSeparator" w:id="0">
    <w:p w14:paraId="03D66F93" w14:textId="77777777" w:rsidR="00274DC6" w:rsidRDefault="00274DC6" w:rsidP="0054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8612" w14:textId="77777777" w:rsidR="005474D0" w:rsidRDefault="0054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EF1" w14:textId="77777777" w:rsidR="005474D0" w:rsidRDefault="00547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76B4" w14:textId="77777777" w:rsidR="005474D0" w:rsidRDefault="0054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8E10" w14:textId="77777777" w:rsidR="00274DC6" w:rsidRDefault="00274DC6" w:rsidP="005474D0">
      <w:pPr>
        <w:spacing w:after="0" w:line="240" w:lineRule="auto"/>
      </w:pPr>
      <w:r>
        <w:separator/>
      </w:r>
    </w:p>
  </w:footnote>
  <w:footnote w:type="continuationSeparator" w:id="0">
    <w:p w14:paraId="08B064E9" w14:textId="77777777" w:rsidR="00274DC6" w:rsidRDefault="00274DC6" w:rsidP="0054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0E25" w14:textId="4F23F714" w:rsidR="005474D0" w:rsidRDefault="0054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351A" w14:textId="31CAA317" w:rsidR="005474D0" w:rsidRDefault="00547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FD64" w14:textId="399974D6" w:rsidR="005474D0" w:rsidRDefault="0054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65C"/>
    <w:multiLevelType w:val="hybridMultilevel"/>
    <w:tmpl w:val="5F221082"/>
    <w:lvl w:ilvl="0" w:tplc="B2C4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F1"/>
    <w:rsid w:val="001927D1"/>
    <w:rsid w:val="00274DC6"/>
    <w:rsid w:val="002E60F8"/>
    <w:rsid w:val="004779AA"/>
    <w:rsid w:val="004C4FCA"/>
    <w:rsid w:val="004E3679"/>
    <w:rsid w:val="004F50D4"/>
    <w:rsid w:val="005474D0"/>
    <w:rsid w:val="007F35B8"/>
    <w:rsid w:val="009E7DF1"/>
    <w:rsid w:val="00A71282"/>
    <w:rsid w:val="00BA5C4B"/>
    <w:rsid w:val="00F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64E08"/>
  <w15:chartTrackingRefBased/>
  <w15:docId w15:val="{F24DF8AE-CF81-4EA3-90CD-A6E13193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D0"/>
  </w:style>
  <w:style w:type="paragraph" w:styleId="Footer">
    <w:name w:val="footer"/>
    <w:basedOn w:val="Normal"/>
    <w:link w:val="FooterChar"/>
    <w:uiPriority w:val="99"/>
    <w:unhideWhenUsed/>
    <w:rsid w:val="0054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Rodrigues</dc:creator>
  <cp:keywords/>
  <dc:description/>
  <cp:lastModifiedBy>Sara Lathrop</cp:lastModifiedBy>
  <cp:revision>2</cp:revision>
  <dcterms:created xsi:type="dcterms:W3CDTF">2022-08-24T01:47:00Z</dcterms:created>
  <dcterms:modified xsi:type="dcterms:W3CDTF">2022-08-24T01:47:00Z</dcterms:modified>
</cp:coreProperties>
</file>